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EDEF" w14:textId="35068E8A" w:rsidR="00F36B21" w:rsidRDefault="00F36B21" w:rsidP="00F36B21">
      <w:pPr>
        <w:spacing w:after="0" w:line="276" w:lineRule="auto"/>
        <w:jc w:val="both"/>
        <w:rPr>
          <w:b/>
          <w:bCs/>
        </w:rPr>
      </w:pPr>
      <w:r w:rsidRPr="00F36B21">
        <w:rPr>
          <w:b/>
          <w:bCs/>
        </w:rPr>
        <w:t xml:space="preserve">Polityka ESG </w:t>
      </w:r>
    </w:p>
    <w:p w14:paraId="5923E51F" w14:textId="77777777" w:rsidR="00F36B21" w:rsidRPr="00F36B21" w:rsidRDefault="00F36B21" w:rsidP="00F36B21">
      <w:pPr>
        <w:spacing w:after="0" w:line="276" w:lineRule="auto"/>
        <w:jc w:val="both"/>
        <w:rPr>
          <w:b/>
          <w:bCs/>
        </w:rPr>
      </w:pPr>
    </w:p>
    <w:p w14:paraId="6A56B7AC" w14:textId="2438E06D" w:rsidR="00F36B21" w:rsidRPr="00F36B21" w:rsidRDefault="00F36B21" w:rsidP="00F36B21">
      <w:pPr>
        <w:spacing w:after="0" w:line="276" w:lineRule="auto"/>
        <w:jc w:val="both"/>
      </w:pPr>
      <w:r>
        <w:rPr>
          <w:b/>
          <w:bCs/>
        </w:rPr>
        <w:t>Peakpower</w:t>
      </w:r>
      <w:r w:rsidRPr="00F36B21">
        <w:rPr>
          <w:b/>
          <w:bCs/>
        </w:rPr>
        <w:t xml:space="preserve"> sp. z o.o.</w:t>
      </w:r>
      <w:r w:rsidRPr="00F36B21">
        <w:t xml:space="preserve"> („Spółka”) prowadzi działalność w obszarze komercyjnych instalacji fotowoltaicznych, magazynów energii, elektroenergetyki oraz automatyki i systemów SCADA w sposób odpowiedzialny, transparentny i zgodny z prawem. Celem niniejszej Polityki ESG („Polityka”) jest określenie zasad, według których Spółka uwzględnia czynniki środowiskowe, społeczne i ładu korporacyjnego w planowaniu, projektowaniu, realizacji oraz serwisie rozwiązań energetycznych i automatyki. Polityka stanowi punkt odniesienia dla decyzji zarządczych i operacyjnych, zasad współpracy z klientami, dostawcami i podwykonawcami oraz dla budowania długoterminowej wartości w sposób ograniczający ryzyka i wzmacniający zaufanie interesariuszy.</w:t>
      </w:r>
    </w:p>
    <w:p w14:paraId="1BD13720" w14:textId="77777777" w:rsidR="00F36B21" w:rsidRPr="00F36B21" w:rsidRDefault="00F36B21" w:rsidP="00F36B21">
      <w:pPr>
        <w:spacing w:after="0" w:line="276" w:lineRule="auto"/>
        <w:jc w:val="both"/>
      </w:pPr>
      <w:r w:rsidRPr="00F36B21">
        <w:t>Spółka traktuje ESG jako element jakości i bezpieczeństwa prowadzonego biznesu. W praktyce oznacza to, że identyfikujemy i zarządzamy ryzykami oraz szansami ESG w całym cyklu realizacji projektów – od ofertowania i doboru technologii, przez prace instalacyjne i uruchomieniowe, po utrzymanie oraz modernizacje. Podejście to uwzględnia specyfikę branży elektroenergetycznej, w tym wymagania dotyczące bezpieczeństwa pracy przy urządzeniach elektrycznych, prac na wysokości, organizacji placu budowy, bezpieczeństwa pożarowego (szczególnie dla magazynów energii), a także cyberbezpieczeństwa systemów automatyki i SCADA. Spółka dąży do ciągłego doskonalenia procesów i standardów w stopniu adekwatnym do skali działalności, profilu projektów oraz wymagań kontraktowych.</w:t>
      </w:r>
    </w:p>
    <w:p w14:paraId="443C80D8" w14:textId="77777777" w:rsidR="00F36B21" w:rsidRPr="00F36B21" w:rsidRDefault="00F36B21" w:rsidP="00F36B21">
      <w:pPr>
        <w:spacing w:after="0" w:line="276" w:lineRule="auto"/>
        <w:jc w:val="both"/>
      </w:pPr>
      <w:r w:rsidRPr="00F36B21">
        <w:t xml:space="preserve">W obszarze </w:t>
      </w:r>
      <w:r w:rsidRPr="00F36B21">
        <w:rPr>
          <w:b/>
          <w:bCs/>
        </w:rPr>
        <w:t>Środowiska (E)</w:t>
      </w:r>
      <w:r w:rsidRPr="00F36B21">
        <w:t xml:space="preserve"> Spółka koncentruje się na minimalizacji wpływu na środowisko, efektywnym wykorzystaniu zasobów oraz wspieraniu transformacji energetycznej. W realizowanych projektach dążymy do stosowania rozwiązań, które poprawiają efektywność energetyczną i ograniczają emisje w ujęciu operacyjnym, przy jednoczesnym uwzględnieniu aspektów cyklu życia urządzeń, w tym trwałości, serwisowalności oraz możliwości odzysku i recyklingu. Spółka przykłada wagę do odpowiedzialnego doboru komponentów i dostawców, oczekując zgodności z wymaganiami środowiskowymi, technicznymi oraz jakościowymi, a tam gdzie jest to możliwe – preferując rozwiązania o udokumentowanych parametrach, pochodzeniu i standardach wytwarzania. W odniesieniu do instalacji PV oraz infrastruktury elektroenergetycznej Spółka dba o właściwą gospodarkę odpadami budowlanymi i opakowaniowymi, ograniczanie strat materiałowych oraz porządek i bezpieczeństwo środowiskowe na placu budowy. W przypadku urządzeń elektrycznych i elektronicznych zapewniamy postępowanie zgodne z zasadami właściwego zagospodarowania zużytego sprzętu, a w projektach obejmujących magazyny energii szczególną uwagę poświęcamy wymogom transportu, magazynowania, eksploatacji i postępowania z komponentami bateryjnymi w sposób minimalizujący ryzyka środowiskowe i bezpieczeństwa. Równolegle Spółka doskonali własną działalność wewnętrzną poprzez ograniczanie zużycia papieru (cyfryzacja obiegu dokumentów), racjonalizację zużycia energii w biurze </w:t>
      </w:r>
      <w:r w:rsidRPr="00F36B21">
        <w:lastRenderedPageBreak/>
        <w:t>oraz optymalizację podróży służbowych, gdy możliwe – z wykorzystaniem zdalnych form współpracy.</w:t>
      </w:r>
    </w:p>
    <w:p w14:paraId="6027BD7A" w14:textId="77777777" w:rsidR="00F36B21" w:rsidRPr="00F36B21" w:rsidRDefault="00F36B21" w:rsidP="00F36B21">
      <w:pPr>
        <w:spacing w:after="0" w:line="276" w:lineRule="auto"/>
        <w:jc w:val="both"/>
      </w:pPr>
      <w:r w:rsidRPr="00F36B21">
        <w:t xml:space="preserve">W obszarze </w:t>
      </w:r>
      <w:r w:rsidRPr="00F36B21">
        <w:rPr>
          <w:b/>
          <w:bCs/>
        </w:rPr>
        <w:t>Społeczeństwa (S)</w:t>
      </w:r>
      <w:r w:rsidRPr="00F36B21">
        <w:t xml:space="preserve"> Spółka przyjmuje, że bezpieczeństwo i kompetencje są kluczowe dla odpowiedzialnej realizacji projektów energetycznych i automatyki. Zapewniamy przestrzeganie zasad BHP, w tym wymagań dotyczących prac elektrycznych, prac na wysokości oraz organizacji robót w środowiskach przemysłowych, a także stosowanie procedur i środków ochrony adekwatnych do ryzyk. Spółka buduje kulturę bezpieczeństwa opartą na prewencji, zgłaszaniu zdarzeń potencjalnie wypadkowych, analizie przyczyn i wdrażaniu działań korygujących. Zatrudnionym i współpracownikom zapewniamy możliwość podnoszenia kwalifikacji oraz utrzymywania uprawnień i kompetencji niezbędnych do realizacji zadań, w szczególności w obszarach elektroenergetyki, automatyki oraz systemów SCADA. Spółka dąży do tworzenia środowiska pracy opartego na szacunku, równości i profesjonalizmie, sprzeciwiając się dyskryminacji, mobbingowi i molestowaniu oraz promując jasne standardy współpracy. W relacjach z klientami kierujemy się rzetelnością, transparentną komunikacją i odpowiedzialnością za jakość – w tym odpowiednim zarządzaniem zmianą, dokumentacją powykonawczą, instrukcjami eksploatacji oraz szkoleniami użytkowników, gdy jest to częścią zakresu. W łańcuchu dostaw oczekujemy od podwykonawców i dostawców przestrzegania wymagań bezpieczeństwa pracy, standardów etycznych i jakościowych; stosujemy nadzór i weryfikację adekwatną do krytyczności prac oraz ryzyk projektowych, w szczególności przy pracach energetycznych i instalacyjnych.</w:t>
      </w:r>
    </w:p>
    <w:p w14:paraId="6F9CD772" w14:textId="77777777" w:rsidR="00F36B21" w:rsidRPr="00F36B21" w:rsidRDefault="00F36B21" w:rsidP="00F36B21">
      <w:pPr>
        <w:spacing w:after="0" w:line="276" w:lineRule="auto"/>
        <w:jc w:val="both"/>
      </w:pPr>
      <w:r w:rsidRPr="00F36B21">
        <w:t xml:space="preserve">W obszarze </w:t>
      </w:r>
      <w:r w:rsidRPr="00F36B21">
        <w:rPr>
          <w:b/>
          <w:bCs/>
        </w:rPr>
        <w:t>Ładu korporacyjnego (G)</w:t>
      </w:r>
      <w:r w:rsidRPr="00F36B21">
        <w:t xml:space="preserve"> Spółka prowadzi działalność w oparciu o zasady zgodności z prawem, uczciwości, przejrzystości i rozliczalności. Stosujemy standardy etyczne, w tym zasady przeciwdziałania korupcji, konfliktom interesów oraz nieprawidłowościom w procesach zakupowych i sprzedażowych. Dążymy do tego, aby decyzje biznesowe – w szczególności dotyczące doboru dostawców, podwykonawców i technologii – były podejmowane w sposób udokumentowany, oparty na kryteriach merytorycznych i jakościowych. Spółka utrzymuje rzetelne zasady rozliczeń i ewidencji zdarzeń gospodarczych oraz dba o audytowalność kluczowych procesów. Istotnym elementem ładu korporacyjnego w profilu działalności Spółki jest bezpieczeństwo informacji i cyberbezpieczeństwo, zwłaszcza w projektach obejmujących automatykę i systemy SCADA. W tym zakresie Spółka stosuje adekwatne środki organizacyjne i techniczne, takie jak kontrola dostępu i uprawnień, zasada minimalnych uprawnień, segmentacja i separacja środowisk, bezpieczne zarządzanie kontami i hasłami, rejestrowanie zdarzeń, zarządzanie podatnościami oraz procedury reagowania na incydenty – w zakresie adekwatnym do roli Spółki oraz uzgodnień kontraktowych. Spółka chroni informacje poufne i know-how oraz zapewnia, aby dostęp do informacji był ograniczony do osób, które potrzebują go do realizacji zadań. Spółka utrzymuje kanały umożliwiające zgłaszanie naruszeń lub wątpliwości dotyczących etyki i zgodności oraz zapewnia poufność zgłoszeń i ochronę osób zgłaszających w dobrej wierze, w zakresie dopuszczalnym prawem.</w:t>
      </w:r>
    </w:p>
    <w:p w14:paraId="6F02205B" w14:textId="69CDAFF2" w:rsidR="00F36B21" w:rsidRPr="00F36B21" w:rsidRDefault="00F36B21" w:rsidP="00F36B21">
      <w:pPr>
        <w:spacing w:after="0" w:line="276" w:lineRule="auto"/>
        <w:jc w:val="both"/>
      </w:pPr>
      <w:r w:rsidRPr="00F36B21">
        <w:lastRenderedPageBreak/>
        <w:t>Nadzór nad realizacją Polityki sprawuje</w:t>
      </w:r>
      <w:r>
        <w:t xml:space="preserve"> Zarząd Spółki</w:t>
      </w:r>
      <w:r w:rsidRPr="00F36B21">
        <w:t>. Polityka jest komunikowana pracownikom i współpracownikom, a w uzasadnionych przypadkach również kontrahentom. Spółka dokonuje okresowego przeglądu niniejszej Polityki oraz aktualizuje ją w razie zmian prawnych, organizacyjnych, technologicznych lub istotnych zmian profilu ryzyk i wymagań klientów. Polityka obowiązuje od dnia</w:t>
      </w:r>
      <w:r>
        <w:t xml:space="preserve"> 01.01.2026 r.</w:t>
      </w:r>
      <w:r w:rsidRPr="00F36B21">
        <w:t xml:space="preserve"> i stanowi publiczną deklarację kierunków działania Spółki w obszarze ESG.</w:t>
      </w:r>
    </w:p>
    <w:p w14:paraId="2FC7AF57" w14:textId="77777777" w:rsidR="00F36B21" w:rsidRPr="00B134A4" w:rsidRDefault="00F36B21" w:rsidP="00F36B21">
      <w:pPr>
        <w:spacing w:after="0" w:line="276" w:lineRule="auto"/>
        <w:jc w:val="both"/>
      </w:pPr>
    </w:p>
    <w:p w14:paraId="1B99AC39" w14:textId="77777777" w:rsidR="00605087" w:rsidRPr="00B134A4" w:rsidRDefault="00605087" w:rsidP="00B134A4">
      <w:pPr>
        <w:spacing w:after="0" w:line="276" w:lineRule="auto"/>
        <w:jc w:val="both"/>
      </w:pPr>
    </w:p>
    <w:sectPr w:rsidR="00605087" w:rsidRPr="00B13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491"/>
    <w:multiLevelType w:val="multilevel"/>
    <w:tmpl w:val="0080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48C9"/>
    <w:multiLevelType w:val="multilevel"/>
    <w:tmpl w:val="3AA4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C66FA"/>
    <w:multiLevelType w:val="multilevel"/>
    <w:tmpl w:val="B9D0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87888"/>
    <w:multiLevelType w:val="multilevel"/>
    <w:tmpl w:val="AB70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F2BEA"/>
    <w:multiLevelType w:val="multilevel"/>
    <w:tmpl w:val="E07E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77787"/>
    <w:multiLevelType w:val="multilevel"/>
    <w:tmpl w:val="907A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E77B1"/>
    <w:multiLevelType w:val="multilevel"/>
    <w:tmpl w:val="2632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C3DC3"/>
    <w:multiLevelType w:val="multilevel"/>
    <w:tmpl w:val="591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20A87"/>
    <w:multiLevelType w:val="multilevel"/>
    <w:tmpl w:val="41CA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A71EF"/>
    <w:multiLevelType w:val="multilevel"/>
    <w:tmpl w:val="4380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35940"/>
    <w:multiLevelType w:val="multilevel"/>
    <w:tmpl w:val="6918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33081"/>
    <w:multiLevelType w:val="multilevel"/>
    <w:tmpl w:val="058A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286109">
    <w:abstractNumId w:val="11"/>
  </w:num>
  <w:num w:numId="2" w16cid:durableId="1357737197">
    <w:abstractNumId w:val="5"/>
  </w:num>
  <w:num w:numId="3" w16cid:durableId="1492024169">
    <w:abstractNumId w:val="2"/>
  </w:num>
  <w:num w:numId="4" w16cid:durableId="1933009647">
    <w:abstractNumId w:val="8"/>
  </w:num>
  <w:num w:numId="5" w16cid:durableId="549340701">
    <w:abstractNumId w:val="6"/>
  </w:num>
  <w:num w:numId="6" w16cid:durableId="232740194">
    <w:abstractNumId w:val="3"/>
  </w:num>
  <w:num w:numId="7" w16cid:durableId="389814376">
    <w:abstractNumId w:val="7"/>
  </w:num>
  <w:num w:numId="8" w16cid:durableId="1997489160">
    <w:abstractNumId w:val="10"/>
  </w:num>
  <w:num w:numId="9" w16cid:durableId="1170483365">
    <w:abstractNumId w:val="4"/>
  </w:num>
  <w:num w:numId="10" w16cid:durableId="145047669">
    <w:abstractNumId w:val="0"/>
  </w:num>
  <w:num w:numId="11" w16cid:durableId="207029749">
    <w:abstractNumId w:val="1"/>
  </w:num>
  <w:num w:numId="12" w16cid:durableId="1971158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2D"/>
    <w:rsid w:val="0022488D"/>
    <w:rsid w:val="005E34C6"/>
    <w:rsid w:val="00605087"/>
    <w:rsid w:val="00981A18"/>
    <w:rsid w:val="009A5BA4"/>
    <w:rsid w:val="00B134A4"/>
    <w:rsid w:val="00B13AAA"/>
    <w:rsid w:val="00BA027F"/>
    <w:rsid w:val="00E4602D"/>
    <w:rsid w:val="00EA7AE9"/>
    <w:rsid w:val="00F3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CF6C"/>
  <w15:chartTrackingRefBased/>
  <w15:docId w15:val="{E2FFE05C-EABF-4966-924F-A6AE1E8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0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0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6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0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0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02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4602D"/>
    <w:rPr>
      <w:rFonts w:ascii="Times New Roman" w:hAnsi="Times New Roman" w:cs="Times New Roman"/>
    </w:rPr>
  </w:style>
  <w:style w:type="table" w:styleId="Zwykatabela2">
    <w:name w:val="Plain Table 2"/>
    <w:basedOn w:val="Standardowy"/>
    <w:uiPriority w:val="42"/>
    <w:rsid w:val="0060508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2248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791</Words>
  <Characters>5862</Characters>
  <Application>Microsoft Office Word</Application>
  <DocSecurity>0</DocSecurity>
  <Lines>90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Akopov</dc:creator>
  <cp:keywords/>
  <dc:description/>
  <cp:lastModifiedBy>Denis Akopov</cp:lastModifiedBy>
  <cp:revision>3</cp:revision>
  <dcterms:created xsi:type="dcterms:W3CDTF">2026-02-11T12:39:00Z</dcterms:created>
  <dcterms:modified xsi:type="dcterms:W3CDTF">2026-02-11T13:01:00Z</dcterms:modified>
</cp:coreProperties>
</file>